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9D7F" w14:textId="77777777" w:rsidR="00F41C16" w:rsidRDefault="001F7F0A">
      <w:pPr>
        <w:spacing w:after="76" w:line="259" w:lineRule="auto"/>
        <w:ind w:left="0" w:right="1246" w:firstLine="0"/>
        <w:jc w:val="right"/>
      </w:pPr>
      <w:r>
        <w:rPr>
          <w:noProof/>
          <w:sz w:val="22"/>
        </w:rPr>
        <mc:AlternateContent>
          <mc:Choice Requires="wpg">
            <w:drawing>
              <wp:inline distT="0" distB="0" distL="0" distR="0" wp14:anchorId="474C5B9B" wp14:editId="5763264C">
                <wp:extent cx="4175760" cy="1053344"/>
                <wp:effectExtent l="0" t="0" r="0" b="0"/>
                <wp:docPr id="1574" name="Group 1574"/>
                <wp:cNvGraphicFramePr/>
                <a:graphic xmlns:a="http://schemas.openxmlformats.org/drawingml/2006/main">
                  <a:graphicData uri="http://schemas.microsoft.com/office/word/2010/wordprocessingGroup">
                    <wpg:wgp>
                      <wpg:cNvGrpSpPr/>
                      <wpg:grpSpPr>
                        <a:xfrm>
                          <a:off x="0" y="0"/>
                          <a:ext cx="4175760" cy="1053344"/>
                          <a:chOff x="0" y="0"/>
                          <a:chExt cx="4175760" cy="1053344"/>
                        </a:xfrm>
                      </wpg:grpSpPr>
                      <wps:wsp>
                        <wps:cNvPr id="9" name="Rectangle 9"/>
                        <wps:cNvSpPr/>
                        <wps:spPr>
                          <a:xfrm>
                            <a:off x="1390523" y="885699"/>
                            <a:ext cx="344560" cy="222969"/>
                          </a:xfrm>
                          <a:prstGeom prst="rect">
                            <a:avLst/>
                          </a:prstGeom>
                          <a:ln>
                            <a:noFill/>
                          </a:ln>
                        </wps:spPr>
                        <wps:txbx>
                          <w:txbxContent>
                            <w:p w14:paraId="11C10C0D" w14:textId="77777777" w:rsidR="00F41C16" w:rsidRDefault="001F7F0A">
                              <w:pPr>
                                <w:spacing w:after="160" w:line="259" w:lineRule="auto"/>
                                <w:ind w:left="0" w:firstLine="0"/>
                              </w:pPr>
                              <w:r>
                                <w:rPr>
                                  <w:b/>
                                  <w:sz w:val="26"/>
                                </w:rPr>
                                <w:t xml:space="preserve">       </w:t>
                              </w:r>
                            </w:p>
                          </w:txbxContent>
                        </wps:txbx>
                        <wps:bodyPr horzOverflow="overflow" vert="horz" lIns="0" tIns="0" rIns="0" bIns="0" rtlCol="0">
                          <a:noAutofit/>
                        </wps:bodyPr>
                      </wps:wsp>
                      <wps:wsp>
                        <wps:cNvPr id="10" name="Rectangle 10"/>
                        <wps:cNvSpPr/>
                        <wps:spPr>
                          <a:xfrm>
                            <a:off x="3003169" y="885699"/>
                            <a:ext cx="346311" cy="222969"/>
                          </a:xfrm>
                          <a:prstGeom prst="rect">
                            <a:avLst/>
                          </a:prstGeom>
                          <a:ln>
                            <a:noFill/>
                          </a:ln>
                        </wps:spPr>
                        <wps:txbx>
                          <w:txbxContent>
                            <w:p w14:paraId="07DAC04C" w14:textId="77777777" w:rsidR="00F41C16" w:rsidRDefault="001F7F0A">
                              <w:pPr>
                                <w:spacing w:after="160" w:line="259" w:lineRule="auto"/>
                                <w:ind w:left="0" w:firstLine="0"/>
                              </w:pPr>
                              <w:r>
                                <w:rPr>
                                  <w:b/>
                                  <w:sz w:val="26"/>
                                </w:rPr>
                                <w:t xml:space="preserve">       </w:t>
                              </w:r>
                            </w:p>
                          </w:txbxContent>
                        </wps:txbx>
                        <wps:bodyPr horzOverflow="overflow" vert="horz" lIns="0" tIns="0" rIns="0" bIns="0" rtlCol="0">
                          <a:noAutofit/>
                        </wps:bodyPr>
                      </wps:wsp>
                      <pic:pic xmlns:pic="http://schemas.openxmlformats.org/drawingml/2006/picture">
                        <pic:nvPicPr>
                          <pic:cNvPr id="154" name="Picture 154"/>
                          <pic:cNvPicPr/>
                        </pic:nvPicPr>
                        <pic:blipFill>
                          <a:blip r:embed="rId4"/>
                          <a:stretch>
                            <a:fillRect/>
                          </a:stretch>
                        </pic:blipFill>
                        <pic:spPr>
                          <a:xfrm>
                            <a:off x="0" y="111253"/>
                            <a:ext cx="1389888" cy="899160"/>
                          </a:xfrm>
                          <a:prstGeom prst="rect">
                            <a:avLst/>
                          </a:prstGeom>
                        </pic:spPr>
                      </pic:pic>
                      <pic:pic xmlns:pic="http://schemas.openxmlformats.org/drawingml/2006/picture">
                        <pic:nvPicPr>
                          <pic:cNvPr id="156" name="Picture 156"/>
                          <pic:cNvPicPr/>
                        </pic:nvPicPr>
                        <pic:blipFill>
                          <a:blip r:embed="rId5"/>
                          <a:stretch>
                            <a:fillRect/>
                          </a:stretch>
                        </pic:blipFill>
                        <pic:spPr>
                          <a:xfrm>
                            <a:off x="1652016" y="111253"/>
                            <a:ext cx="1350264" cy="899160"/>
                          </a:xfrm>
                          <a:prstGeom prst="rect">
                            <a:avLst/>
                          </a:prstGeom>
                        </pic:spPr>
                      </pic:pic>
                      <pic:pic xmlns:pic="http://schemas.openxmlformats.org/drawingml/2006/picture">
                        <pic:nvPicPr>
                          <pic:cNvPr id="158" name="Picture 158"/>
                          <pic:cNvPicPr/>
                        </pic:nvPicPr>
                        <pic:blipFill>
                          <a:blip r:embed="rId6"/>
                          <a:stretch>
                            <a:fillRect/>
                          </a:stretch>
                        </pic:blipFill>
                        <pic:spPr>
                          <a:xfrm>
                            <a:off x="3265932" y="0"/>
                            <a:ext cx="909828" cy="1008888"/>
                          </a:xfrm>
                          <a:prstGeom prst="rect">
                            <a:avLst/>
                          </a:prstGeom>
                        </pic:spPr>
                      </pic:pic>
                    </wpg:wgp>
                  </a:graphicData>
                </a:graphic>
              </wp:inline>
            </w:drawing>
          </mc:Choice>
          <mc:Fallback xmlns:a="http://schemas.openxmlformats.org/drawingml/2006/main">
            <w:pict>
              <v:group id="Group 1574" style="width:328.8pt;height:82.9405pt;mso-position-horizontal-relative:char;mso-position-vertical-relative:line" coordsize="41757,10533">
                <v:rect id="Rectangle 9" style="position:absolute;width:3445;height:2229;left:13905;top:8856;" filled="f" stroked="f">
                  <v:textbox inset="0,0,0,0">
                    <w:txbxContent>
                      <w:p>
                        <w:pPr>
                          <w:spacing w:before="0" w:after="160" w:line="259" w:lineRule="auto"/>
                          <w:ind w:left="0" w:firstLine="0"/>
                        </w:pPr>
                        <w:r>
                          <w:rPr>
                            <w:rFonts w:cs="Calibri" w:hAnsi="Calibri" w:eastAsia="Calibri" w:ascii="Calibri"/>
                            <w:b w:val="1"/>
                            <w:sz w:val="26"/>
                          </w:rPr>
                          <w:t xml:space="preserve">       </w:t>
                        </w:r>
                      </w:p>
                    </w:txbxContent>
                  </v:textbox>
                </v:rect>
                <v:rect id="Rectangle 10" style="position:absolute;width:3463;height:2229;left:30031;top:8856;" filled="f" stroked="f">
                  <v:textbox inset="0,0,0,0">
                    <w:txbxContent>
                      <w:p>
                        <w:pPr>
                          <w:spacing w:before="0" w:after="160" w:line="259" w:lineRule="auto"/>
                          <w:ind w:left="0" w:firstLine="0"/>
                        </w:pPr>
                        <w:r>
                          <w:rPr>
                            <w:rFonts w:cs="Calibri" w:hAnsi="Calibri" w:eastAsia="Calibri" w:ascii="Calibri"/>
                            <w:b w:val="1"/>
                            <w:sz w:val="26"/>
                          </w:rPr>
                          <w:t xml:space="preserve">       </w:t>
                        </w:r>
                      </w:p>
                    </w:txbxContent>
                  </v:textbox>
                </v:rect>
                <v:shape id="Picture 154" style="position:absolute;width:13898;height:8991;left:0;top:1112;" filled="f">
                  <v:imagedata r:id="rId7"/>
                </v:shape>
                <v:shape id="Picture 156" style="position:absolute;width:13502;height:8991;left:16520;top:1112;" filled="f">
                  <v:imagedata r:id="rId8"/>
                </v:shape>
                <v:shape id="Picture 158" style="position:absolute;width:9098;height:10088;left:32659;top:0;" filled="f">
                  <v:imagedata r:id="rId9"/>
                </v:shape>
              </v:group>
            </w:pict>
          </mc:Fallback>
        </mc:AlternateContent>
      </w:r>
      <w:r>
        <w:rPr>
          <w:b/>
          <w:sz w:val="26"/>
        </w:rPr>
        <w:t xml:space="preserve"> </w:t>
      </w:r>
    </w:p>
    <w:p w14:paraId="4B33D76B" w14:textId="77777777" w:rsidR="00F41C16" w:rsidRDefault="001F7F0A">
      <w:pPr>
        <w:spacing w:after="244" w:line="259" w:lineRule="auto"/>
        <w:ind w:left="0" w:firstLine="0"/>
      </w:pPr>
      <w:r>
        <w:rPr>
          <w:b/>
          <w:sz w:val="26"/>
        </w:rPr>
        <w:t xml:space="preserve"> </w:t>
      </w:r>
    </w:p>
    <w:p w14:paraId="1EDC0C40" w14:textId="78C3DD75" w:rsidR="00F41C16" w:rsidRPr="003B1A53" w:rsidRDefault="001F7F0A">
      <w:pPr>
        <w:spacing w:after="151" w:line="280" w:lineRule="auto"/>
        <w:ind w:left="0" w:right="4965" w:firstLine="0"/>
        <w:rPr>
          <w:rFonts w:ascii="Times New Roman" w:hAnsi="Times New Roman" w:cs="Times New Roman"/>
          <w:sz w:val="24"/>
          <w:szCs w:val="24"/>
        </w:rPr>
      </w:pPr>
      <w:r w:rsidRPr="003B1A53">
        <w:rPr>
          <w:rFonts w:ascii="Times New Roman" w:hAnsi="Times New Roman" w:cs="Times New Roman"/>
          <w:b/>
          <w:sz w:val="24"/>
          <w:szCs w:val="24"/>
        </w:rPr>
        <w:t>ANEC-AGE-EDF Joint statement for UN International Day of Older Persons 1</w:t>
      </w:r>
      <w:r w:rsidRPr="003B1A53">
        <w:rPr>
          <w:rFonts w:ascii="Times New Roman" w:hAnsi="Times New Roman" w:cs="Times New Roman"/>
          <w:b/>
          <w:sz w:val="24"/>
          <w:szCs w:val="24"/>
          <w:vertAlign w:val="superscript"/>
        </w:rPr>
        <w:t>st</w:t>
      </w:r>
      <w:r w:rsidRPr="003B1A53">
        <w:rPr>
          <w:rFonts w:ascii="Times New Roman" w:hAnsi="Times New Roman" w:cs="Times New Roman"/>
          <w:b/>
          <w:sz w:val="24"/>
          <w:szCs w:val="24"/>
        </w:rPr>
        <w:t xml:space="preserve"> October 2020  </w:t>
      </w:r>
    </w:p>
    <w:p w14:paraId="65045D8F" w14:textId="67827C63" w:rsidR="00F41C16" w:rsidRPr="003B1A53" w:rsidRDefault="001F7F0A" w:rsidP="003B1A53">
      <w:pPr>
        <w:spacing w:after="282" w:line="259" w:lineRule="auto"/>
        <w:ind w:left="0" w:firstLine="0"/>
        <w:rPr>
          <w:rFonts w:ascii="Times New Roman" w:hAnsi="Times New Roman" w:cs="Times New Roman"/>
          <w:sz w:val="24"/>
          <w:szCs w:val="24"/>
        </w:rPr>
      </w:pPr>
      <w:r w:rsidRPr="003B1A53">
        <w:rPr>
          <w:rFonts w:ascii="Times New Roman" w:hAnsi="Times New Roman" w:cs="Times New Roman"/>
          <w:sz w:val="24"/>
          <w:szCs w:val="24"/>
        </w:rPr>
        <w:t xml:space="preserve"> </w:t>
      </w:r>
      <w:r w:rsidRPr="003B1A53">
        <w:rPr>
          <w:rFonts w:ascii="Times New Roman" w:hAnsi="Times New Roman" w:cs="Times New Roman"/>
          <w:b/>
          <w:sz w:val="24"/>
          <w:szCs w:val="24"/>
        </w:rPr>
        <w:t xml:space="preserve">“Pandemics: how do they change the way we address age and ageing?” </w:t>
      </w:r>
    </w:p>
    <w:p w14:paraId="73862790" w14:textId="77777777" w:rsidR="00F41C16" w:rsidRPr="003B1A53" w:rsidRDefault="001F7F0A">
      <w:pPr>
        <w:ind w:left="-5" w:right="39"/>
        <w:rPr>
          <w:rFonts w:ascii="Times New Roman" w:hAnsi="Times New Roman" w:cs="Times New Roman"/>
          <w:sz w:val="24"/>
          <w:szCs w:val="24"/>
        </w:rPr>
      </w:pPr>
      <w:r w:rsidRPr="003B1A53">
        <w:rPr>
          <w:rFonts w:ascii="Times New Roman" w:hAnsi="Times New Roman" w:cs="Times New Roman"/>
          <w:sz w:val="24"/>
          <w:szCs w:val="24"/>
        </w:rPr>
        <w:t xml:space="preserve">Despite the negative consequences of COVID-19, standards have proven key to protecting and supporting society in </w:t>
      </w:r>
      <w:proofErr w:type="gramStart"/>
      <w:r w:rsidRPr="003B1A53">
        <w:rPr>
          <w:rFonts w:ascii="Times New Roman" w:hAnsi="Times New Roman" w:cs="Times New Roman"/>
          <w:sz w:val="24"/>
          <w:szCs w:val="24"/>
        </w:rPr>
        <w:t>an emergency situation</w:t>
      </w:r>
      <w:proofErr w:type="gramEnd"/>
      <w:r w:rsidRPr="003B1A53">
        <w:rPr>
          <w:rFonts w:ascii="Times New Roman" w:hAnsi="Times New Roman" w:cs="Times New Roman"/>
          <w:sz w:val="24"/>
          <w:szCs w:val="24"/>
        </w:rPr>
        <w:t xml:space="preserve"> and can do so in the new normal ahead. From face masks to respirators, and accessibility of communication, we have all learnt the importance of standards in ensuring our safety and wellbeing.  </w:t>
      </w:r>
    </w:p>
    <w:p w14:paraId="7CA8BFBC" w14:textId="77777777" w:rsidR="00F41C16" w:rsidRPr="003B1A53" w:rsidRDefault="001F7F0A">
      <w:pPr>
        <w:ind w:left="-5" w:right="39"/>
        <w:rPr>
          <w:rFonts w:ascii="Times New Roman" w:hAnsi="Times New Roman" w:cs="Times New Roman"/>
          <w:sz w:val="24"/>
          <w:szCs w:val="24"/>
        </w:rPr>
      </w:pPr>
      <w:r w:rsidRPr="003B1A53">
        <w:rPr>
          <w:rFonts w:ascii="Times New Roman" w:hAnsi="Times New Roman" w:cs="Times New Roman"/>
          <w:sz w:val="24"/>
          <w:szCs w:val="24"/>
        </w:rPr>
        <w:t xml:space="preserve">The way we address age and ageing influences the way we provide support and care. The pandemic has shown the limits of our residential care systems, thus questioning our ways of thinking about later life. The pandemic has </w:t>
      </w:r>
      <w:proofErr w:type="gramStart"/>
      <w:r w:rsidRPr="003B1A53">
        <w:rPr>
          <w:rFonts w:ascii="Times New Roman" w:hAnsi="Times New Roman" w:cs="Times New Roman"/>
          <w:sz w:val="24"/>
          <w:szCs w:val="24"/>
        </w:rPr>
        <w:t>opened up</w:t>
      </w:r>
      <w:proofErr w:type="gramEnd"/>
      <w:r w:rsidRPr="003B1A53">
        <w:rPr>
          <w:rFonts w:ascii="Times New Roman" w:hAnsi="Times New Roman" w:cs="Times New Roman"/>
          <w:sz w:val="24"/>
          <w:szCs w:val="24"/>
        </w:rPr>
        <w:t xml:space="preserve"> the debate about the wider community context in which we grow old: this context must offer something new and empowering. This new approach would produce better standards and in the process challenge previous ways of thinking. </w:t>
      </w:r>
    </w:p>
    <w:p w14:paraId="70D09C62" w14:textId="77777777" w:rsidR="00F41C16" w:rsidRPr="003B1A53" w:rsidRDefault="001F7F0A">
      <w:pPr>
        <w:ind w:left="-5" w:right="39"/>
        <w:rPr>
          <w:rFonts w:ascii="Times New Roman" w:hAnsi="Times New Roman" w:cs="Times New Roman"/>
          <w:sz w:val="24"/>
          <w:szCs w:val="24"/>
        </w:rPr>
      </w:pPr>
      <w:r w:rsidRPr="003B1A53">
        <w:rPr>
          <w:rFonts w:ascii="Times New Roman" w:hAnsi="Times New Roman" w:cs="Times New Roman"/>
          <w:sz w:val="24"/>
          <w:szCs w:val="24"/>
        </w:rPr>
        <w:t xml:space="preserve">European Standards, if based on the principles of Design for all and used, can play an essential role in supporting everyone’s right to equal access, </w:t>
      </w:r>
      <w:proofErr w:type="gramStart"/>
      <w:r w:rsidRPr="003B1A53">
        <w:rPr>
          <w:rFonts w:ascii="Times New Roman" w:hAnsi="Times New Roman" w:cs="Times New Roman"/>
          <w:sz w:val="24"/>
          <w:szCs w:val="24"/>
        </w:rPr>
        <w:t>autonomy</w:t>
      </w:r>
      <w:proofErr w:type="gramEnd"/>
      <w:r w:rsidRPr="003B1A53">
        <w:rPr>
          <w:rFonts w:ascii="Times New Roman" w:hAnsi="Times New Roman" w:cs="Times New Roman"/>
          <w:sz w:val="24"/>
          <w:szCs w:val="24"/>
        </w:rPr>
        <w:t xml:space="preserve"> and participation. Design for All means designing products and services for as many consumers as possible, regardless of age and abilities. Only a European Standardisation System inclusive of the diversity of consumers can develop standards that meet the needs of a wider consumer base.  </w:t>
      </w:r>
    </w:p>
    <w:p w14:paraId="0E0C5D02" w14:textId="77777777" w:rsidR="00F41C16" w:rsidRPr="003B1A53" w:rsidRDefault="001F7F0A">
      <w:pPr>
        <w:spacing w:after="179"/>
        <w:ind w:left="-5" w:right="39"/>
        <w:rPr>
          <w:rFonts w:ascii="Times New Roman" w:hAnsi="Times New Roman" w:cs="Times New Roman"/>
          <w:sz w:val="24"/>
          <w:szCs w:val="24"/>
        </w:rPr>
      </w:pPr>
      <w:r w:rsidRPr="003B1A53">
        <w:rPr>
          <w:rFonts w:ascii="Times New Roman" w:hAnsi="Times New Roman" w:cs="Times New Roman"/>
          <w:sz w:val="24"/>
          <w:szCs w:val="24"/>
        </w:rPr>
        <w:t xml:space="preserve">ANEC-AGE-EDF have been working jointly for many years, and are committed to continue to do so, in delivering products and services that address the needs of all consumers. Accessibility, usability, empowerment, privacy protection, choice, control, environmental and social impacts: they </w:t>
      </w:r>
      <w:proofErr w:type="gramStart"/>
      <w:r w:rsidRPr="003B1A53">
        <w:rPr>
          <w:rFonts w:ascii="Times New Roman" w:hAnsi="Times New Roman" w:cs="Times New Roman"/>
          <w:sz w:val="24"/>
          <w:szCs w:val="24"/>
        </w:rPr>
        <w:t>have to</w:t>
      </w:r>
      <w:proofErr w:type="gramEnd"/>
      <w:r w:rsidRPr="003B1A53">
        <w:rPr>
          <w:rFonts w:ascii="Times New Roman" w:hAnsi="Times New Roman" w:cs="Times New Roman"/>
          <w:sz w:val="24"/>
          <w:szCs w:val="24"/>
        </w:rPr>
        <w:t xml:space="preserve"> be front and centre in the management of the health and economic crisis. </w:t>
      </w:r>
    </w:p>
    <w:p w14:paraId="001E1879" w14:textId="77777777" w:rsidR="003B1A53" w:rsidRPr="003B1A53" w:rsidRDefault="001F7F0A" w:rsidP="003B1A53">
      <w:pPr>
        <w:spacing w:after="439" w:line="259" w:lineRule="auto"/>
        <w:ind w:left="0" w:firstLine="0"/>
        <w:rPr>
          <w:rFonts w:ascii="Times New Roman" w:hAnsi="Times New Roman" w:cs="Times New Roman"/>
          <w:color w:val="auto"/>
          <w:sz w:val="24"/>
          <w:szCs w:val="24"/>
        </w:rPr>
      </w:pPr>
      <w:r w:rsidRPr="003B1A53">
        <w:rPr>
          <w:rFonts w:ascii="Times New Roman" w:hAnsi="Times New Roman" w:cs="Times New Roman"/>
          <w:i/>
          <w:color w:val="auto"/>
          <w:sz w:val="24"/>
          <w:szCs w:val="24"/>
        </w:rPr>
        <w:t>About AGE Platform Europe</w:t>
      </w:r>
      <w:r w:rsidR="003B1A53" w:rsidRPr="003B1A53">
        <w:rPr>
          <w:rFonts w:ascii="Times New Roman" w:hAnsi="Times New Roman" w:cs="Times New Roman"/>
          <w:i/>
          <w:color w:val="auto"/>
          <w:sz w:val="24"/>
          <w:szCs w:val="24"/>
        </w:rPr>
        <w:t xml:space="preserve">: </w:t>
      </w:r>
      <w:r w:rsidRPr="003B1A53">
        <w:rPr>
          <w:rFonts w:ascii="Times New Roman" w:hAnsi="Times New Roman" w:cs="Times New Roman"/>
          <w:color w:val="auto"/>
          <w:sz w:val="24"/>
          <w:szCs w:val="24"/>
        </w:rPr>
        <w:t xml:space="preserve">AGE Platform Europe is a European network of organisations of and for older people. We aim to voice and promote the interests of the 200 million older citizens aged 50+ in the European Union and to raise awareness of the issues that concern them most.  </w:t>
      </w:r>
      <w:hyperlink r:id="rId10">
        <w:r w:rsidRPr="003B1A53">
          <w:rPr>
            <w:rFonts w:ascii="Times New Roman" w:hAnsi="Times New Roman" w:cs="Times New Roman"/>
            <w:color w:val="auto"/>
            <w:sz w:val="24"/>
            <w:szCs w:val="24"/>
            <w:u w:val="single" w:color="0563C1"/>
          </w:rPr>
          <w:t>www.age</w:t>
        </w:r>
      </w:hyperlink>
      <w:hyperlink r:id="rId11">
        <w:r w:rsidRPr="003B1A53">
          <w:rPr>
            <w:rFonts w:ascii="Times New Roman" w:hAnsi="Times New Roman" w:cs="Times New Roman"/>
            <w:color w:val="auto"/>
            <w:sz w:val="24"/>
            <w:szCs w:val="24"/>
            <w:u w:val="single" w:color="0563C1"/>
          </w:rPr>
          <w:t>-</w:t>
        </w:r>
      </w:hyperlink>
      <w:hyperlink r:id="rId12">
        <w:r w:rsidRPr="003B1A53">
          <w:rPr>
            <w:rFonts w:ascii="Times New Roman" w:hAnsi="Times New Roman" w:cs="Times New Roman"/>
            <w:color w:val="auto"/>
            <w:sz w:val="24"/>
            <w:szCs w:val="24"/>
            <w:u w:val="single" w:color="0563C1"/>
          </w:rPr>
          <w:t>platform.eu</w:t>
        </w:r>
      </w:hyperlink>
      <w:hyperlink r:id="rId13">
        <w:r w:rsidRPr="003B1A53">
          <w:rPr>
            <w:rFonts w:ascii="Times New Roman" w:hAnsi="Times New Roman" w:cs="Times New Roman"/>
            <w:color w:val="auto"/>
            <w:sz w:val="24"/>
            <w:szCs w:val="24"/>
          </w:rPr>
          <w:t xml:space="preserve">   </w:t>
        </w:r>
      </w:hyperlink>
    </w:p>
    <w:p w14:paraId="3A88A680" w14:textId="77777777" w:rsidR="003B1A53" w:rsidRPr="003B1A53" w:rsidRDefault="001F7F0A" w:rsidP="003B1A53">
      <w:pPr>
        <w:spacing w:after="439" w:line="259" w:lineRule="auto"/>
        <w:ind w:left="0" w:firstLine="0"/>
        <w:rPr>
          <w:rFonts w:ascii="Times New Roman" w:hAnsi="Times New Roman" w:cs="Times New Roman"/>
          <w:color w:val="auto"/>
          <w:sz w:val="24"/>
          <w:szCs w:val="24"/>
        </w:rPr>
      </w:pPr>
      <w:r w:rsidRPr="003B1A53">
        <w:rPr>
          <w:rFonts w:ascii="Times New Roman" w:hAnsi="Times New Roman" w:cs="Times New Roman"/>
          <w:i/>
          <w:color w:val="auto"/>
          <w:sz w:val="24"/>
          <w:szCs w:val="24"/>
        </w:rPr>
        <w:t>About ANEC</w:t>
      </w:r>
      <w:r w:rsidR="003B1A53" w:rsidRPr="003B1A53">
        <w:rPr>
          <w:rFonts w:ascii="Times New Roman" w:hAnsi="Times New Roman" w:cs="Times New Roman"/>
          <w:i/>
          <w:color w:val="auto"/>
          <w:sz w:val="24"/>
          <w:szCs w:val="24"/>
        </w:rPr>
        <w:t xml:space="preserve">: </w:t>
      </w:r>
      <w:r w:rsidRPr="003B1A53">
        <w:rPr>
          <w:rFonts w:ascii="Times New Roman" w:hAnsi="Times New Roman" w:cs="Times New Roman"/>
          <w:color w:val="auto"/>
          <w:sz w:val="24"/>
          <w:szCs w:val="24"/>
        </w:rPr>
        <w:t xml:space="preserve">ANEC is the European consumer voice in standardisation. We represent the European consumer interest in the creation of technical standards, especially those developed to support the implementation of European laws and public policies. </w:t>
      </w:r>
      <w:hyperlink r:id="rId14">
        <w:r w:rsidRPr="003B1A53">
          <w:rPr>
            <w:rFonts w:ascii="Times New Roman" w:hAnsi="Times New Roman" w:cs="Times New Roman"/>
            <w:color w:val="auto"/>
            <w:sz w:val="24"/>
            <w:szCs w:val="24"/>
            <w:u w:val="single" w:color="0563C1"/>
          </w:rPr>
          <w:t>www.anec.eu</w:t>
        </w:r>
      </w:hyperlink>
      <w:hyperlink r:id="rId15">
        <w:r w:rsidRPr="003B1A53">
          <w:rPr>
            <w:rFonts w:ascii="Times New Roman" w:hAnsi="Times New Roman" w:cs="Times New Roman"/>
            <w:color w:val="auto"/>
            <w:sz w:val="24"/>
            <w:szCs w:val="24"/>
          </w:rPr>
          <w:t xml:space="preserve"> </w:t>
        </w:r>
      </w:hyperlink>
      <w:r w:rsidRPr="003B1A53">
        <w:rPr>
          <w:rFonts w:ascii="Times New Roman" w:hAnsi="Times New Roman" w:cs="Times New Roman"/>
          <w:color w:val="auto"/>
          <w:sz w:val="24"/>
          <w:szCs w:val="24"/>
        </w:rPr>
        <w:t xml:space="preserve"> </w:t>
      </w:r>
    </w:p>
    <w:p w14:paraId="0A9FF036" w14:textId="1EF65F44" w:rsidR="00F41C16" w:rsidRPr="003B1A53" w:rsidRDefault="001F7F0A" w:rsidP="003B1A53">
      <w:pPr>
        <w:spacing w:after="439" w:line="259" w:lineRule="auto"/>
        <w:ind w:left="0" w:firstLine="0"/>
        <w:rPr>
          <w:rFonts w:ascii="Times New Roman" w:hAnsi="Times New Roman" w:cs="Times New Roman"/>
          <w:color w:val="auto"/>
          <w:sz w:val="24"/>
          <w:szCs w:val="24"/>
        </w:rPr>
      </w:pPr>
      <w:r w:rsidRPr="003B1A53">
        <w:rPr>
          <w:rFonts w:ascii="Times New Roman" w:hAnsi="Times New Roman" w:cs="Times New Roman"/>
          <w:i/>
          <w:color w:val="auto"/>
          <w:sz w:val="24"/>
          <w:szCs w:val="24"/>
        </w:rPr>
        <w:t>About the European Disability Forum</w:t>
      </w:r>
      <w:r w:rsidR="003B1A53" w:rsidRPr="003B1A53">
        <w:rPr>
          <w:rFonts w:ascii="Times New Roman" w:hAnsi="Times New Roman" w:cs="Times New Roman"/>
          <w:i/>
          <w:color w:val="auto"/>
          <w:sz w:val="24"/>
          <w:szCs w:val="24"/>
        </w:rPr>
        <w:t xml:space="preserve">: </w:t>
      </w:r>
      <w:r w:rsidRPr="003B1A53">
        <w:rPr>
          <w:rFonts w:ascii="Times New Roman" w:hAnsi="Times New Roman" w:cs="Times New Roman"/>
          <w:color w:val="auto"/>
          <w:sz w:val="24"/>
          <w:szCs w:val="24"/>
        </w:rPr>
        <w:t xml:space="preserve">The European Disability Forum is an independent NGO that defends the interests of 80 million Europeans with disabilities. EDF is a unique platform which brings together representative organisations of persons with disabilities from across Europe. It is run by persons with disabilities and their families. EDF is a strong, united voice of persons with disabilities in Europe. </w:t>
      </w:r>
      <w:hyperlink r:id="rId16">
        <w:r w:rsidRPr="003B1A53">
          <w:rPr>
            <w:rFonts w:ascii="Times New Roman" w:hAnsi="Times New Roman" w:cs="Times New Roman"/>
            <w:color w:val="auto"/>
            <w:sz w:val="24"/>
            <w:szCs w:val="24"/>
            <w:u w:val="single" w:color="0563C1"/>
          </w:rPr>
          <w:t>www.edf</w:t>
        </w:r>
      </w:hyperlink>
      <w:hyperlink r:id="rId17">
        <w:r w:rsidRPr="003B1A53">
          <w:rPr>
            <w:rFonts w:ascii="Times New Roman" w:hAnsi="Times New Roman" w:cs="Times New Roman"/>
            <w:color w:val="auto"/>
            <w:sz w:val="24"/>
            <w:szCs w:val="24"/>
            <w:u w:val="single" w:color="0563C1"/>
          </w:rPr>
          <w:t>-</w:t>
        </w:r>
      </w:hyperlink>
      <w:hyperlink r:id="rId18">
        <w:r w:rsidRPr="003B1A53">
          <w:rPr>
            <w:rFonts w:ascii="Times New Roman" w:hAnsi="Times New Roman" w:cs="Times New Roman"/>
            <w:color w:val="auto"/>
            <w:sz w:val="24"/>
            <w:szCs w:val="24"/>
            <w:u w:val="single" w:color="0563C1"/>
          </w:rPr>
          <w:t>feph.org</w:t>
        </w:r>
      </w:hyperlink>
      <w:hyperlink r:id="rId19">
        <w:r w:rsidRPr="003B1A53">
          <w:rPr>
            <w:rFonts w:ascii="Times New Roman" w:hAnsi="Times New Roman" w:cs="Times New Roman"/>
            <w:color w:val="auto"/>
            <w:sz w:val="24"/>
            <w:szCs w:val="24"/>
          </w:rPr>
          <w:t xml:space="preserve"> </w:t>
        </w:r>
      </w:hyperlink>
      <w:r w:rsidRPr="003B1A53">
        <w:rPr>
          <w:rFonts w:ascii="Times New Roman" w:hAnsi="Times New Roman" w:cs="Times New Roman"/>
          <w:color w:val="auto"/>
          <w:sz w:val="24"/>
          <w:szCs w:val="24"/>
        </w:rPr>
        <w:t xml:space="preserve"> </w:t>
      </w:r>
    </w:p>
    <w:p w14:paraId="34CEF660" w14:textId="77777777" w:rsidR="00F41C16" w:rsidRDefault="001F7F0A">
      <w:pPr>
        <w:spacing w:after="0" w:line="259" w:lineRule="auto"/>
        <w:ind w:left="0" w:firstLine="0"/>
        <w:jc w:val="right"/>
      </w:pPr>
      <w:r>
        <w:rPr>
          <w:sz w:val="26"/>
        </w:rPr>
        <w:lastRenderedPageBreak/>
        <w:t xml:space="preserve"> </w:t>
      </w:r>
    </w:p>
    <w:p w14:paraId="02CE818B" w14:textId="77777777" w:rsidR="00F41C16" w:rsidRDefault="001F7F0A">
      <w:pPr>
        <w:spacing w:after="219" w:line="259" w:lineRule="auto"/>
        <w:ind w:right="44"/>
        <w:jc w:val="right"/>
      </w:pPr>
      <w:r>
        <w:rPr>
          <w:sz w:val="26"/>
        </w:rPr>
        <w:t xml:space="preserve">2 </w:t>
      </w:r>
    </w:p>
    <w:sectPr w:rsidR="00F41C16">
      <w:pgSz w:w="11906" w:h="16838"/>
      <w:pgMar w:top="1174" w:right="1358" w:bottom="70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16"/>
    <w:rsid w:val="00015755"/>
    <w:rsid w:val="001F7F0A"/>
    <w:rsid w:val="003B1A53"/>
    <w:rsid w:val="00C3688C"/>
    <w:rsid w:val="00C661CF"/>
    <w:rsid w:val="00F41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77A9"/>
  <w15:docId w15:val="{4C2002B5-4D28-41D5-8379-C9FD0A19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39" w:lineRule="auto"/>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yperlink" Target="https://age-platform.us13.list-manage.com/track/click?u=cf3b9abedf63c20e4a7a3376c&amp;id=7059ff0fac&amp;e=6088eaea11" TargetMode="External"/><Relationship Id="rId18" Type="http://schemas.openxmlformats.org/officeDocument/2006/relationships/hyperlink" Target="http://www.edf-feph.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0.jpg"/><Relationship Id="rId12" Type="http://schemas.openxmlformats.org/officeDocument/2006/relationships/hyperlink" Target="https://age-platform.us13.list-manage.com/track/click?u=cf3b9abedf63c20e4a7a3376c&amp;id=7059ff0fac&amp;e=6088eaea11" TargetMode="External"/><Relationship Id="rId17" Type="http://schemas.openxmlformats.org/officeDocument/2006/relationships/hyperlink" Target="http://www.edf-feph.org/" TargetMode="External"/><Relationship Id="rId2" Type="http://schemas.openxmlformats.org/officeDocument/2006/relationships/settings" Target="settings.xml"/><Relationship Id="rId16" Type="http://schemas.openxmlformats.org/officeDocument/2006/relationships/hyperlink" Target="http://www.edf-feph.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age-platform.us13.list-manage.com/track/click?u=cf3b9abedf63c20e4a7a3376c&amp;id=7059ff0fac&amp;e=6088eaea11" TargetMode="External"/><Relationship Id="rId5" Type="http://schemas.openxmlformats.org/officeDocument/2006/relationships/image" Target="media/image2.jpg"/><Relationship Id="rId15" Type="http://schemas.openxmlformats.org/officeDocument/2006/relationships/hyperlink" Target="http://www.anec.eu/" TargetMode="External"/><Relationship Id="rId10" Type="http://schemas.openxmlformats.org/officeDocument/2006/relationships/hyperlink" Target="https://age-platform.us13.list-manage.com/track/click?u=cf3b9abedf63c20e4a7a3376c&amp;id=7059ff0fac&amp;e=6088eaea11" TargetMode="External"/><Relationship Id="rId19" Type="http://schemas.openxmlformats.org/officeDocument/2006/relationships/hyperlink" Target="http://www.edf-feph.org/" TargetMode="External"/><Relationship Id="rId4" Type="http://schemas.openxmlformats.org/officeDocument/2006/relationships/image" Target="media/image1.jpg"/><Relationship Id="rId9" Type="http://schemas.openxmlformats.org/officeDocument/2006/relationships/image" Target="media/image20.jpg"/><Relationship Id="rId14" Type="http://schemas.openxmlformats.org/officeDocument/2006/relationships/hyperlink" Target="http://www.ane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BAGSO e.V.</dc:creator>
  <cp:keywords/>
  <cp:lastModifiedBy>Caroline Attard</cp:lastModifiedBy>
  <cp:revision>2</cp:revision>
  <dcterms:created xsi:type="dcterms:W3CDTF">2021-08-13T08:54:00Z</dcterms:created>
  <dcterms:modified xsi:type="dcterms:W3CDTF">2021-08-13T08:54:00Z</dcterms:modified>
</cp:coreProperties>
</file>